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A" w:rsidRPr="00383166" w:rsidRDefault="0058114C" w:rsidP="003A563A">
      <w:pPr>
        <w:spacing w:line="276" w:lineRule="auto"/>
        <w:rPr>
          <w:rFonts w:eastAsiaTheme="majorEastAsia" w:cstheme="majorBidi"/>
          <w:b/>
          <w:sz w:val="40"/>
          <w:szCs w:val="32"/>
        </w:rPr>
      </w:pPr>
      <w:r>
        <w:rPr>
          <w:b/>
          <w:sz w:val="40"/>
        </w:rPr>
        <w:t>Machines à coffrages glissants Wirtgen pour la pose Inset : pour une pose de béton de haute qualité</w:t>
      </w:r>
    </w:p>
    <w:p w:rsidR="003A563A" w:rsidRPr="003A563A" w:rsidRDefault="003A563A" w:rsidP="003A563A">
      <w:pPr>
        <w:spacing w:line="276" w:lineRule="auto"/>
        <w:rPr>
          <w:rFonts w:ascii="Verdana" w:eastAsia="Times New Roman" w:hAnsi="Verdana" w:cs="Times New Roman"/>
          <w:sz w:val="22"/>
          <w:szCs w:val="22"/>
          <w:lang w:eastAsia="de-DE"/>
        </w:rPr>
      </w:pPr>
    </w:p>
    <w:p w:rsidR="003A563A" w:rsidRPr="00150094" w:rsidRDefault="003A563A" w:rsidP="003A563A">
      <w:pPr>
        <w:spacing w:line="276" w:lineRule="auto"/>
        <w:rPr>
          <w:rFonts w:ascii="Verdana" w:eastAsia="Times New Roman" w:hAnsi="Verdana" w:cs="Times New Roman"/>
          <w:sz w:val="22"/>
          <w:szCs w:val="22"/>
        </w:rPr>
      </w:pPr>
      <w:r>
        <w:rPr>
          <w:rFonts w:ascii="Verdana" w:hAnsi="Verdana"/>
          <w:sz w:val="22"/>
        </w:rPr>
        <w:t>Les machines à coffrages glissants pour la pose Inset, comme la SP 62i de Wirtgen, se prêtent parfaitement au finissage économique des revêtements en béton. Dans la ville de College Station, située à 150 km au nord-ouest de Houston, la machine de la série SP 60 a précisément réalisé la pose de haute précision de nouvelles chaussées sur le site de l’ancien Texas World Speedway.</w:t>
      </w:r>
    </w:p>
    <w:p w:rsidR="003A563A" w:rsidRPr="003A563A" w:rsidRDefault="003A563A" w:rsidP="003A563A">
      <w:pPr>
        <w:spacing w:line="276" w:lineRule="auto"/>
        <w:rPr>
          <w:rFonts w:ascii="Verdana" w:eastAsia="Times New Roman" w:hAnsi="Verdana" w:cs="Times New Roman"/>
          <w:b/>
          <w:sz w:val="22"/>
          <w:szCs w:val="22"/>
          <w:lang w:eastAsia="de-DE"/>
        </w:rPr>
      </w:pPr>
    </w:p>
    <w:p w:rsidR="003A563A" w:rsidRPr="003A563A" w:rsidRDefault="003A563A" w:rsidP="003A563A">
      <w:pPr>
        <w:spacing w:line="276" w:lineRule="auto"/>
        <w:rPr>
          <w:rFonts w:ascii="Verdana" w:eastAsia="Times New Roman" w:hAnsi="Verdana" w:cs="Times New Roman"/>
          <w:b/>
          <w:sz w:val="22"/>
          <w:szCs w:val="22"/>
        </w:rPr>
      </w:pPr>
      <w:r>
        <w:rPr>
          <w:rFonts w:ascii="Verdana" w:hAnsi="Verdana"/>
          <w:b/>
          <w:sz w:val="22"/>
        </w:rPr>
        <w:t>Le SP 62i pose des nouvelles routes au Texas</w:t>
      </w:r>
    </w:p>
    <w:p w:rsidR="003A563A" w:rsidRPr="003A563A" w:rsidRDefault="003A563A" w:rsidP="003A563A">
      <w:pPr>
        <w:spacing w:line="276" w:lineRule="auto"/>
        <w:rPr>
          <w:rFonts w:ascii="Verdana" w:eastAsia="Times New Roman" w:hAnsi="Verdana" w:cs="Times New Roman"/>
          <w:sz w:val="22"/>
          <w:szCs w:val="22"/>
        </w:rPr>
      </w:pPr>
      <w:r>
        <w:rPr>
          <w:rFonts w:ascii="Verdana" w:hAnsi="Verdana"/>
          <w:sz w:val="22"/>
        </w:rPr>
        <w:t>Plus de 76 000 m³ de routes doivent y être construits pour la nouvelle zone résidentielle</w:t>
      </w:r>
      <w:r>
        <w:rPr>
          <w:rFonts w:ascii="Arial" w:hAnsi="Arial"/>
          <w:sz w:val="22"/>
        </w:rPr>
        <w:t xml:space="preserve"> </w:t>
      </w:r>
      <w:r>
        <w:rPr>
          <w:rFonts w:ascii="Verdana" w:hAnsi="Verdana"/>
          <w:sz w:val="22"/>
        </w:rPr>
        <w:t xml:space="preserve">« Southern Pointe », qui sera construite dans les 12 prochaines années et s'étendra sur une superficie de 2,6 km². « Nous avons opté entre autres pour la SP 62i parce que nous sommes souvent amenés à travailler en zone urbaine », explique Mark Schinzler, directeur d’exploitation de l’entreprise de construction Larry Young Paving Inc., pour parler de l’un des critères de sélection. Avec la machine à coffrages glissants compacte à 2 chaînes de Wirtgen, il est possible de poser avec précision des revêtements en béton d’une largeur comprise entre 3,50 et 7,50 m et sur une épaisseur pouvant atteindre 450 mm. Des largeurs et hauteurs de pose spéciales ainsi que des options sont également possibles sur demande. </w:t>
      </w:r>
    </w:p>
    <w:p w:rsidR="003A563A" w:rsidRPr="003A563A" w:rsidRDefault="003A563A" w:rsidP="003A563A">
      <w:pPr>
        <w:spacing w:line="276" w:lineRule="auto"/>
        <w:rPr>
          <w:rFonts w:ascii="Verdana" w:eastAsia="Times New Roman" w:hAnsi="Verdana" w:cs="Times New Roman"/>
          <w:sz w:val="22"/>
          <w:szCs w:val="22"/>
          <w:lang w:eastAsia="de-DE"/>
        </w:rPr>
      </w:pPr>
    </w:p>
    <w:p w:rsidR="003A563A" w:rsidRPr="003A563A" w:rsidRDefault="003A563A" w:rsidP="003A563A">
      <w:pPr>
        <w:spacing w:line="276" w:lineRule="auto"/>
        <w:rPr>
          <w:rFonts w:ascii="Verdana" w:eastAsia="Times New Roman" w:hAnsi="Verdana" w:cs="Times New Roman"/>
          <w:sz w:val="22"/>
          <w:szCs w:val="22"/>
        </w:rPr>
      </w:pPr>
      <w:r>
        <w:rPr>
          <w:rFonts w:ascii="Verdana" w:hAnsi="Verdana"/>
          <w:sz w:val="22"/>
        </w:rPr>
        <w:t>Les travaux à College Station ont commencé à l’entrée sud de la future nouvelle zone résidentielle. Sur un sol support stabilisé à la chaux, la machine à coffrages glissants Inset a assuré la pose de béton sur une longueur de 670 m en deux passages, sur une largeur de 11,5 m, une hauteur de 200 mm et avec un profil à deux dévers de trois pour</w:t>
      </w:r>
      <w:r>
        <w:rPr>
          <w:rFonts w:ascii="Arial" w:hAnsi="Arial"/>
          <w:sz w:val="22"/>
        </w:rPr>
        <w:t xml:space="preserve"> </w:t>
      </w:r>
      <w:r>
        <w:rPr>
          <w:rFonts w:ascii="Verdana" w:hAnsi="Verdana"/>
          <w:sz w:val="22"/>
        </w:rPr>
        <w:t>cent. Elle a fait l’unanimité grâce à son travail silencieux et à ses fonctions techniques, telles que la taloche longitudinale automatique. « C’est impressionnant de voir comment la taloche longitudinale élimine les inégalités », évoque avec enthousiasme Schinzler</w:t>
      </w:r>
      <w:r>
        <w:rPr>
          <w:rFonts w:ascii="Arial" w:hAnsi="Arial"/>
          <w:sz w:val="22"/>
        </w:rPr>
        <w:t xml:space="preserve"> </w:t>
      </w:r>
      <w:r>
        <w:rPr>
          <w:rFonts w:ascii="Verdana" w:hAnsi="Verdana"/>
          <w:sz w:val="22"/>
        </w:rPr>
        <w:t>en parlant de la grande planéité de la surface en béton. Il est convaincu également par la simplicité d’utilisation de la SP 62i, avec laquelle son équipe avait pu se familiariser avant l’achat lors d’une formation au Wirtgen Centre for Training &amp; Technology de Nashville. « Tous les collaborateurs connaissent bien le fonctionnement de la machine à coffrages glissants et se sentent à l’aise</w:t>
      </w:r>
      <w:r>
        <w:rPr>
          <w:rFonts w:ascii="Arial" w:hAnsi="Arial"/>
          <w:sz w:val="22"/>
        </w:rPr>
        <w:t xml:space="preserve"> </w:t>
      </w:r>
      <w:r>
        <w:rPr>
          <w:rFonts w:ascii="Verdana" w:hAnsi="Verdana"/>
          <w:sz w:val="22"/>
        </w:rPr>
        <w:t>avec », explique le directeur d’exploitation. Par ailleurs, il tient aussi à mettre en avant l’excellence du service client du Wirtgen Group aux États-Unis : « L’accompagnement pour toutes les questions d’ordre technique ou d’application est formidable.</w:t>
      </w:r>
      <w:r>
        <w:rPr>
          <w:rFonts w:ascii="Arial" w:hAnsi="Arial"/>
          <w:sz w:val="22"/>
        </w:rPr>
        <w:t xml:space="preserve"> </w:t>
      </w:r>
      <w:r>
        <w:rPr>
          <w:rFonts w:ascii="Verdana" w:hAnsi="Verdana"/>
          <w:sz w:val="22"/>
        </w:rPr>
        <w:t>Les collaborateurs de Wirtgen sont toujours là pour nous, 24 heures sur 24. »</w:t>
      </w:r>
    </w:p>
    <w:p w:rsidR="00AA69CC" w:rsidRPr="0014683F" w:rsidRDefault="00AA69CC" w:rsidP="00082F31">
      <w:pPr>
        <w:pStyle w:val="Text"/>
        <w:suppressAutoHyphens/>
        <w:spacing w:line="276" w:lineRule="auto"/>
      </w:pPr>
    </w:p>
    <w:p w:rsidR="002E765F" w:rsidRPr="0014683F" w:rsidRDefault="002E765F" w:rsidP="00C644CA">
      <w:pPr>
        <w:pStyle w:val="Text"/>
      </w:pPr>
      <w:r>
        <w:br w:type="page"/>
      </w:r>
    </w:p>
    <w:p w:rsidR="00D166AC" w:rsidRDefault="002844EF" w:rsidP="00C644CA">
      <w:pPr>
        <w:pStyle w:val="HeadlineFotos"/>
      </w:pPr>
      <w:r>
        <w:rPr>
          <w:rFonts w:ascii="Verdana" w:hAnsi="Verdana"/>
          <w:caps w:val="0"/>
        </w:rPr>
        <w:lastRenderedPageBreak/>
        <w:t>Photos </w:t>
      </w:r>
      <w:r>
        <w:t>:</w:t>
      </w:r>
    </w:p>
    <w:tbl>
      <w:tblPr>
        <w:tblStyle w:val="Basic"/>
        <w:tblW w:w="0" w:type="auto"/>
        <w:tblCellSpacing w:w="71" w:type="dxa"/>
        <w:tblLook w:val="04A0" w:firstRow="1" w:lastRow="0" w:firstColumn="1" w:lastColumn="0" w:noHBand="0" w:noVBand="1"/>
      </w:tblPr>
      <w:tblGrid>
        <w:gridCol w:w="4859"/>
        <w:gridCol w:w="4665"/>
      </w:tblGrid>
      <w:tr w:rsidR="003A563A" w:rsidRPr="005C6EE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p>
        </w:tc>
        <w:tc>
          <w:tcPr>
            <w:tcW w:w="4815" w:type="dxa"/>
          </w:tcPr>
          <w:p w:rsidR="003A563A" w:rsidRPr="005C6EEC" w:rsidRDefault="003A563A" w:rsidP="00B463D0">
            <w:pPr>
              <w:spacing w:line="280" w:lineRule="atLeast"/>
              <w:rPr>
                <w:rFonts w:ascii="Verdana" w:hAnsi="Verdana"/>
                <w:sz w:val="20"/>
                <w:szCs w:val="16"/>
              </w:rPr>
            </w:pPr>
          </w:p>
        </w:tc>
      </w:tr>
      <w:tr w:rsidR="003A563A" w:rsidRPr="005C6EEC" w:rsidTr="00B463D0">
        <w:trPr>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r>
              <w:rPr>
                <w:rFonts w:ascii="Verdana" w:hAnsi="Verdana"/>
                <w:noProof/>
              </w:rPr>
              <w:drawing>
                <wp:inline distT="0" distB="0" distL="0" distR="0" wp14:anchorId="5E372347" wp14:editId="045140F6">
                  <wp:extent cx="2509114" cy="1697127"/>
                  <wp:effectExtent l="0" t="0" r="571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521298" cy="1705368"/>
                          </a:xfrm>
                          <a:prstGeom prst="rect">
                            <a:avLst/>
                          </a:prstGeom>
                          <a:noFill/>
                          <a:ln>
                            <a:noFill/>
                          </a:ln>
                        </pic:spPr>
                      </pic:pic>
                    </a:graphicData>
                  </a:graphic>
                </wp:inline>
              </w:drawing>
            </w:r>
          </w:p>
        </w:tc>
        <w:tc>
          <w:tcPr>
            <w:tcW w:w="4815" w:type="dxa"/>
          </w:tcPr>
          <w:p w:rsidR="003A563A" w:rsidRPr="005C6EEC"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W_photo_SP62i_00006_HI</w:t>
            </w:r>
          </w:p>
          <w:p w:rsidR="003A563A" w:rsidRPr="005C6EEC" w:rsidRDefault="003A563A" w:rsidP="00B463D0">
            <w:pPr>
              <w:spacing w:line="280" w:lineRule="atLeast"/>
              <w:rPr>
                <w:rFonts w:ascii="Verdana" w:hAnsi="Verdana"/>
                <w:sz w:val="20"/>
                <w:szCs w:val="16"/>
              </w:rPr>
            </w:pPr>
            <w:r>
              <w:rPr>
                <w:rFonts w:ascii="Verdana" w:hAnsi="Verdana"/>
                <w:sz w:val="20"/>
              </w:rPr>
              <w:t>Le système de direction et de commande intelligent</w:t>
            </w:r>
            <w:r>
              <w:t xml:space="preserve"> </w:t>
            </w:r>
            <w:r>
              <w:rPr>
                <w:rFonts w:ascii="Verdana" w:hAnsi="Verdana"/>
                <w:sz w:val="20"/>
              </w:rPr>
              <w:t>de la machine à coffrages glissants compacte SP 62i de Wirtgen pour la pose Inset assure un fonctionnement parfait sans à-coups.</w:t>
            </w:r>
          </w:p>
        </w:tc>
      </w:tr>
    </w:tbl>
    <w:p w:rsidR="003A563A" w:rsidRDefault="003A563A" w:rsidP="003A563A">
      <w:pPr>
        <w:rPr>
          <w:rFonts w:ascii="Verdana" w:hAnsi="Verdana"/>
          <w:szCs w:val="22"/>
        </w:rPr>
      </w:pPr>
    </w:p>
    <w:tbl>
      <w:tblPr>
        <w:tblStyle w:val="Basic"/>
        <w:tblW w:w="0" w:type="auto"/>
        <w:tblCellSpacing w:w="71" w:type="dxa"/>
        <w:tblLook w:val="04A0" w:firstRow="1" w:lastRow="0" w:firstColumn="1" w:lastColumn="0" w:noHBand="0" w:noVBand="1"/>
      </w:tblPr>
      <w:tblGrid>
        <w:gridCol w:w="4860"/>
        <w:gridCol w:w="4664"/>
      </w:tblGrid>
      <w:tr w:rsidR="003A563A" w:rsidRPr="008F7B7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A563A" w:rsidRPr="005C6EEC" w:rsidRDefault="003A563A" w:rsidP="00B463D0">
            <w:pPr>
              <w:rPr>
                <w:rFonts w:ascii="Verdana" w:hAnsi="Verdana"/>
                <w:szCs w:val="16"/>
              </w:rPr>
            </w:pPr>
            <w:r>
              <w:rPr>
                <w:rFonts w:ascii="Verdana" w:hAnsi="Verdana"/>
                <w:noProof/>
              </w:rPr>
              <w:drawing>
                <wp:inline distT="0" distB="0" distL="0" distR="0" wp14:anchorId="3C35D736" wp14:editId="788E1525">
                  <wp:extent cx="2521298" cy="16831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21298" cy="1683100"/>
                          </a:xfrm>
                          <a:prstGeom prst="rect">
                            <a:avLst/>
                          </a:prstGeom>
                          <a:noFill/>
                          <a:ln>
                            <a:noFill/>
                          </a:ln>
                        </pic:spPr>
                      </pic:pic>
                    </a:graphicData>
                  </a:graphic>
                </wp:inline>
              </w:drawing>
            </w:r>
          </w:p>
        </w:tc>
        <w:tc>
          <w:tcPr>
            <w:tcW w:w="4832" w:type="dxa"/>
          </w:tcPr>
          <w:p w:rsidR="003A563A" w:rsidRPr="00997F23"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W_photo_SP62i_00005_HI</w:t>
            </w:r>
          </w:p>
          <w:p w:rsidR="003A563A" w:rsidRPr="008F7B7C" w:rsidRDefault="003A563A" w:rsidP="00B463D0">
            <w:pPr>
              <w:spacing w:line="280" w:lineRule="atLeast"/>
              <w:rPr>
                <w:rFonts w:ascii="Verdana" w:hAnsi="Verdana"/>
                <w:sz w:val="20"/>
                <w:szCs w:val="16"/>
              </w:rPr>
            </w:pPr>
            <w:r>
              <w:rPr>
                <w:rFonts w:ascii="Verdana" w:hAnsi="Verdana"/>
                <w:sz w:val="20"/>
              </w:rPr>
              <w:t>Wallace Phillips, développeur du projet Southern Pointe, et Larry Young, président de Larry Young Paving</w:t>
            </w:r>
            <w:r>
              <w:t xml:space="preserve"> </w:t>
            </w:r>
            <w:r>
              <w:rPr>
                <w:rFonts w:ascii="Verdana" w:hAnsi="Verdana"/>
                <w:sz w:val="20"/>
              </w:rPr>
              <w:t>Inc., lors de la visite du premier tronçon.</w:t>
            </w:r>
          </w:p>
        </w:tc>
      </w:tr>
    </w:tbl>
    <w:p w:rsidR="003A563A" w:rsidRPr="008F7B7C" w:rsidRDefault="003A563A" w:rsidP="003A563A">
      <w:pPr>
        <w:rPr>
          <w:rFonts w:ascii="Verdana" w:hAnsi="Verdana"/>
          <w:szCs w:val="22"/>
        </w:rPr>
      </w:pPr>
    </w:p>
    <w:p w:rsidR="00351388" w:rsidRDefault="00351388" w:rsidP="00D166AC">
      <w:pPr>
        <w:pStyle w:val="Text"/>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C03396" w:rsidRDefault="00C03396" w:rsidP="00D166AC">
      <w:pPr>
        <w:pStyle w:val="Text"/>
      </w:pPr>
    </w:p>
    <w:p w:rsidR="000A7276" w:rsidRDefault="000A7276"/>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rPr>
              <w:t xml:space="preserve">VOUS OBTIENDREZ DE PLUS AMPLES </w:t>
            </w:r>
          </w:p>
          <w:p w:rsidR="00D166AC" w:rsidRDefault="002844EF" w:rsidP="0034191A">
            <w:pPr>
              <w:pStyle w:val="HeadlineKontakte"/>
            </w:pPr>
            <w:r>
              <w:rPr>
                <w:rFonts w:ascii="Verdana" w:hAnsi="Verdana"/>
                <w:caps w:val="0"/>
              </w:rPr>
              <w:t>INFORMATIONS AUPRÈS DE </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 xml:space="preserve">Téléphone : +49 (0) 2645 131 – </w:t>
            </w:r>
            <w:r w:rsidR="00DC1D12">
              <w:t>0</w:t>
            </w:r>
            <w:bookmarkStart w:id="0" w:name="_GoBack"/>
            <w:bookmarkEnd w:id="0"/>
          </w:p>
          <w:p w:rsidR="008D4AE7" w:rsidRDefault="008D4AE7" w:rsidP="008D4AE7">
            <w:pPr>
              <w:pStyle w:val="Text"/>
            </w:pPr>
            <w:r>
              <w:t>Telefax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D23C5">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B9897"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B577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18F6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1DAB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F3E"/>
    <w:rsid w:val="0002284E"/>
    <w:rsid w:val="00042106"/>
    <w:rsid w:val="0005285B"/>
    <w:rsid w:val="00066D09"/>
    <w:rsid w:val="00082F31"/>
    <w:rsid w:val="0009665C"/>
    <w:rsid w:val="000A7276"/>
    <w:rsid w:val="000E2697"/>
    <w:rsid w:val="00103205"/>
    <w:rsid w:val="0012026F"/>
    <w:rsid w:val="00132055"/>
    <w:rsid w:val="0014683F"/>
    <w:rsid w:val="00150094"/>
    <w:rsid w:val="001B16BB"/>
    <w:rsid w:val="00244981"/>
    <w:rsid w:val="00253A2E"/>
    <w:rsid w:val="002844EF"/>
    <w:rsid w:val="0029634D"/>
    <w:rsid w:val="00296479"/>
    <w:rsid w:val="002E765F"/>
    <w:rsid w:val="002F108B"/>
    <w:rsid w:val="002F2851"/>
    <w:rsid w:val="0034191A"/>
    <w:rsid w:val="00343CC7"/>
    <w:rsid w:val="00351388"/>
    <w:rsid w:val="00383166"/>
    <w:rsid w:val="00384A08"/>
    <w:rsid w:val="003A563A"/>
    <w:rsid w:val="003A753A"/>
    <w:rsid w:val="003E1CB6"/>
    <w:rsid w:val="003E3CF6"/>
    <w:rsid w:val="003E759F"/>
    <w:rsid w:val="00403373"/>
    <w:rsid w:val="00406C81"/>
    <w:rsid w:val="00412545"/>
    <w:rsid w:val="00430BB0"/>
    <w:rsid w:val="00463D7D"/>
    <w:rsid w:val="00476F4D"/>
    <w:rsid w:val="004D23C5"/>
    <w:rsid w:val="00506409"/>
    <w:rsid w:val="00530E32"/>
    <w:rsid w:val="005711A3"/>
    <w:rsid w:val="00572433"/>
    <w:rsid w:val="00573B2B"/>
    <w:rsid w:val="0058114C"/>
    <w:rsid w:val="005A4F04"/>
    <w:rsid w:val="005B3697"/>
    <w:rsid w:val="005B5793"/>
    <w:rsid w:val="006330A2"/>
    <w:rsid w:val="00642EB6"/>
    <w:rsid w:val="006510FB"/>
    <w:rsid w:val="00671F3E"/>
    <w:rsid w:val="006A6782"/>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4310B"/>
    <w:rsid w:val="009A7E90"/>
    <w:rsid w:val="009C2378"/>
    <w:rsid w:val="009D016F"/>
    <w:rsid w:val="009E251D"/>
    <w:rsid w:val="00A171F4"/>
    <w:rsid w:val="00A24EFC"/>
    <w:rsid w:val="00A80677"/>
    <w:rsid w:val="00A977CE"/>
    <w:rsid w:val="00AA69CC"/>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0267A"/>
    <w:rsid w:val="00D166AC"/>
    <w:rsid w:val="00D23C1F"/>
    <w:rsid w:val="00D24067"/>
    <w:rsid w:val="00D32143"/>
    <w:rsid w:val="00DC1D12"/>
    <w:rsid w:val="00E14608"/>
    <w:rsid w:val="00E21E67"/>
    <w:rsid w:val="00E30EBF"/>
    <w:rsid w:val="00E52D70"/>
    <w:rsid w:val="00E55534"/>
    <w:rsid w:val="00E73142"/>
    <w:rsid w:val="00E914D1"/>
    <w:rsid w:val="00F03020"/>
    <w:rsid w:val="00F040EA"/>
    <w:rsid w:val="00F20920"/>
    <w:rsid w:val="00F56318"/>
    <w:rsid w:val="00F82525"/>
    <w:rsid w:val="00F974F0"/>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1A720"/>
  <w15:docId w15:val="{994135D3-39A6-4DE8-B59D-9A50F9EF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DF652-6E2D-45D7-9AA2-4518B0F3B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495</Words>
  <Characters>3124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23</cp:revision>
  <dcterms:created xsi:type="dcterms:W3CDTF">2019-09-11T13:19:00Z</dcterms:created>
  <dcterms:modified xsi:type="dcterms:W3CDTF">2020-11-16T12:01:00Z</dcterms:modified>
</cp:coreProperties>
</file>